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53" w:rsidRDefault="00F54DD0" w:rsidP="000C1153">
      <w:pPr>
        <w:jc w:val="center"/>
        <w:rPr>
          <w:rFonts w:ascii="Arial" w:eastAsia="Times New Roman" w:hAnsi="Arial" w:cs="Arial"/>
          <w:b/>
          <w:sz w:val="30"/>
          <w:szCs w:val="3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0"/>
          <w:szCs w:val="30"/>
          <w:lang w:eastAsia="it-IT"/>
        </w:rPr>
        <w:t>ATTO DELLA GIUNTA COMUNALE</w:t>
      </w:r>
    </w:p>
    <w:p w:rsidR="000C1153" w:rsidRDefault="00F54DD0" w:rsidP="000C1153">
      <w:pPr>
        <w:jc w:val="center"/>
        <w:rPr>
          <w:rFonts w:ascii="Arial" w:eastAsia="Times New Roman" w:hAnsi="Arial" w:cs="Arial"/>
          <w:b/>
          <w:lang w:eastAsia="it-IT"/>
        </w:rPr>
      </w:pPr>
    </w:p>
    <w:p w:rsidR="000C1153" w:rsidRDefault="00F54DD0" w:rsidP="000C1153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Seduta del 13/09/2018 n. 196</w:t>
      </w:r>
    </w:p>
    <w:p w:rsidR="000C1153" w:rsidRDefault="00F54DD0" w:rsidP="000C1153">
      <w:pPr>
        <w:jc w:val="center"/>
        <w:rPr>
          <w:rFonts w:ascii="Arial" w:eastAsia="Times New Roman" w:hAnsi="Arial" w:cs="Arial"/>
          <w:b/>
          <w:lang w:eastAsia="it-IT"/>
        </w:rPr>
      </w:pPr>
    </w:p>
    <w:p w:rsidR="000C1153" w:rsidRDefault="00F54DD0" w:rsidP="000C1153">
      <w:pPr>
        <w:rPr>
          <w:rFonts w:ascii="Arial" w:eastAsia="Times New Roman" w:hAnsi="Arial" w:cs="Arial"/>
          <w:sz w:val="22"/>
          <w:szCs w:val="22"/>
          <w:lang w:eastAsia="it-IT"/>
        </w:rPr>
      </w:pPr>
    </w:p>
    <w:p w:rsidR="000C1153" w:rsidRDefault="00F54DD0" w:rsidP="000C1153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OGGETTO:</w:t>
      </w:r>
    </w:p>
    <w:p w:rsidR="000C1153" w:rsidRDefault="00F54DD0" w:rsidP="000C1153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APPROVAZIONE REGOLAMENTO PER LA COSTITUZIONE E LA RIPARTIZIONE DEL FONDO PER LO SVOLGIMENTO, DA PARTE DEL PERSONALE INTERNO, DI FUNZIONI TECNICHE RELATIVE AD APPALTI DI LAVORI, SERVIZI E </w:t>
      </w:r>
      <w:r>
        <w:rPr>
          <w:rFonts w:ascii="Arial" w:eastAsia="Times New Roman" w:hAnsi="Arial" w:cs="Arial"/>
          <w:b/>
          <w:lang w:eastAsia="it-IT"/>
        </w:rPr>
        <w:t>FORNITURE, DI CUI ALL'ARTICOLO 113, DEL D.LGS. 18 APRILE 2016, N. 50 E S.M.I.</w:t>
      </w:r>
    </w:p>
    <w:p w:rsidR="000C1153" w:rsidRDefault="00F54DD0" w:rsidP="000C1153">
      <w:pPr>
        <w:pBdr>
          <w:bottom w:val="single" w:sz="8" w:space="1" w:color="auto"/>
        </w:pBdr>
        <w:rPr>
          <w:rFonts w:ascii="Arial" w:eastAsia="Times New Roman" w:hAnsi="Arial" w:cs="Arial"/>
          <w:sz w:val="22"/>
          <w:szCs w:val="22"/>
          <w:lang w:eastAsia="it-IT"/>
        </w:rPr>
      </w:pPr>
    </w:p>
    <w:p w:rsidR="000C1153" w:rsidRDefault="00F54DD0" w:rsidP="000C1153">
      <w:pPr>
        <w:rPr>
          <w:rFonts w:ascii="Arial" w:eastAsia="Times New Roman" w:hAnsi="Arial" w:cs="Arial"/>
          <w:lang w:eastAsia="it-IT"/>
        </w:rPr>
      </w:pPr>
    </w:p>
    <w:p w:rsidR="000C1153" w:rsidRDefault="00F54DD0" w:rsidP="000C1153">
      <w:pPr>
        <w:ind w:firstLine="709"/>
        <w:rPr>
          <w:rFonts w:ascii="Arial" w:eastAsia="Times New Roman" w:hAnsi="Arial" w:cs="Arial"/>
          <w:lang w:eastAsia="it-IT"/>
        </w:rPr>
      </w:pPr>
    </w:p>
    <w:p w:rsidR="000C1153" w:rsidRDefault="00F54DD0" w:rsidP="000C1153">
      <w:pPr>
        <w:spacing w:line="48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L'Anno </w:t>
      </w:r>
      <w:r>
        <w:rPr>
          <w:rFonts w:ascii="Arial" w:eastAsia="Times New Roman" w:hAnsi="Arial" w:cs="Arial"/>
          <w:b/>
          <w:lang w:eastAsia="it-IT"/>
        </w:rPr>
        <w:t>Duemiladiciotto</w:t>
      </w:r>
      <w:r>
        <w:rPr>
          <w:rFonts w:ascii="Arial" w:eastAsia="Times New Roman" w:hAnsi="Arial" w:cs="Arial"/>
          <w:lang w:eastAsia="it-IT"/>
        </w:rPr>
        <w:t xml:space="preserve"> il giorno </w:t>
      </w:r>
      <w:r>
        <w:rPr>
          <w:rFonts w:ascii="Arial" w:eastAsia="Times New Roman" w:hAnsi="Arial" w:cs="Arial"/>
          <w:b/>
          <w:lang w:eastAsia="it-IT"/>
        </w:rPr>
        <w:t>Tredici</w:t>
      </w:r>
      <w:r>
        <w:rPr>
          <w:rFonts w:ascii="Arial" w:eastAsia="Times New Roman" w:hAnsi="Arial" w:cs="Arial"/>
          <w:lang w:eastAsia="it-IT"/>
        </w:rPr>
        <w:t xml:space="preserve"> del mese di </w:t>
      </w:r>
      <w:r>
        <w:rPr>
          <w:rFonts w:ascii="Arial" w:eastAsia="Times New Roman" w:hAnsi="Arial" w:cs="Arial"/>
          <w:b/>
          <w:lang w:eastAsia="it-IT"/>
        </w:rPr>
        <w:t>Settembre</w:t>
      </w:r>
      <w:r>
        <w:rPr>
          <w:rFonts w:ascii="Arial" w:eastAsia="Times New Roman" w:hAnsi="Arial" w:cs="Arial"/>
          <w:lang w:eastAsia="it-IT"/>
        </w:rPr>
        <w:t xml:space="preserve"> alle ore </w:t>
      </w:r>
      <w:r>
        <w:rPr>
          <w:rFonts w:ascii="Arial" w:eastAsia="Times New Roman" w:hAnsi="Arial" w:cs="Arial"/>
          <w:b/>
          <w:lang w:eastAsia="it-IT"/>
        </w:rPr>
        <w:t>13:00</w:t>
      </w:r>
      <w:r>
        <w:rPr>
          <w:rFonts w:ascii="Arial" w:eastAsia="Times New Roman" w:hAnsi="Arial" w:cs="Arial"/>
          <w:lang w:eastAsia="it-IT"/>
        </w:rPr>
        <w:t xml:space="preserve"> nella sala delle adunanze della sede Comunale, si è riunita la Giunta Comunale convocata nelle fo</w:t>
      </w:r>
      <w:r>
        <w:rPr>
          <w:rFonts w:ascii="Arial" w:eastAsia="Times New Roman" w:hAnsi="Arial" w:cs="Arial"/>
          <w:lang w:eastAsia="it-IT"/>
        </w:rPr>
        <w:t xml:space="preserve">rme di legge, per le ore </w:t>
      </w:r>
      <w:r>
        <w:rPr>
          <w:rFonts w:ascii="Arial" w:eastAsia="Times New Roman" w:hAnsi="Arial" w:cs="Arial"/>
          <w:b/>
          <w:lang w:eastAsia="it-IT"/>
        </w:rPr>
        <w:t>13:00</w:t>
      </w:r>
      <w:r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.--------------------------------------------------------------------</w:t>
      </w:r>
    </w:p>
    <w:p w:rsidR="000C1153" w:rsidRDefault="00F54DD0" w:rsidP="000C1153">
      <w:pPr>
        <w:spacing w:line="48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Partecipa alla riunione il </w:t>
      </w:r>
      <w:r>
        <w:rPr>
          <w:rFonts w:ascii="Arial" w:eastAsia="Times New Roman" w:hAnsi="Arial" w:cs="Arial"/>
          <w:lang w:eastAsia="it-IT"/>
        </w:rPr>
        <w:t>SEGRETARIO GENERALE</w:t>
      </w:r>
      <w:r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 Dott. </w:t>
      </w:r>
      <w:r>
        <w:rPr>
          <w:rFonts w:ascii="Arial" w:eastAsia="Times New Roman" w:hAnsi="Arial" w:cs="Arial"/>
          <w:b/>
          <w:lang w:eastAsia="it-IT"/>
        </w:rPr>
        <w:t>GIULIONI GIULIANO</w:t>
      </w:r>
      <w:r>
        <w:rPr>
          <w:rFonts w:ascii="Arial" w:eastAsia="Times New Roman" w:hAnsi="Arial" w:cs="Arial"/>
          <w:lang w:eastAsia="it-IT"/>
        </w:rPr>
        <w:t> </w:t>
      </w:r>
    </w:p>
    <w:p w:rsidR="000C1153" w:rsidRDefault="00F54DD0" w:rsidP="000C1153">
      <w:pPr>
        <w:spacing w:line="48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Presiede l'adunanza </w:t>
      </w:r>
      <w:r>
        <w:rPr>
          <w:rFonts w:ascii="Arial" w:eastAsia="Times New Roman" w:hAnsi="Arial" w:cs="Arial"/>
          <w:b/>
          <w:lang w:eastAsia="it-IT"/>
        </w:rPr>
        <w:t xml:space="preserve">PUGNALONI SIMONE </w:t>
      </w:r>
      <w:r>
        <w:rPr>
          <w:rFonts w:ascii="Arial" w:eastAsia="Times New Roman" w:hAnsi="Arial" w:cs="Arial"/>
          <w:lang w:eastAsia="it-IT"/>
        </w:rPr>
        <w:t>nella sua qualità di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SINDACO ------------</w:t>
      </w:r>
    </w:p>
    <w:p w:rsidR="000C1153" w:rsidRDefault="00F54DD0" w:rsidP="000C1153">
      <w:pPr>
        <w:spacing w:line="48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e sono rispettivamente presenti ed assenti i Sigg.: </w:t>
      </w:r>
    </w:p>
    <w:p w:rsidR="000C1153" w:rsidRDefault="00F54DD0" w:rsidP="000C1153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tbl>
      <w:tblPr>
        <w:tblW w:w="4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2295"/>
        <w:gridCol w:w="1993"/>
        <w:gridCol w:w="2183"/>
      </w:tblGrid>
      <w:tr w:rsidR="00F07E8B" w:rsidRPr="003D5F91" w:rsidTr="00FD3626">
        <w:trPr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N.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Cognome e Nome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Carica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Presenza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1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PUGNALONI SIMONE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SINDACO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2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PELLEGRINI MAURO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V.SINDACO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No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3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BERNARDINI DANIELE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4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CARDINALI FLAVIO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5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GATTO FEDERICA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6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PAGLIARECCI ANNALISA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7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GLORIO MICHELA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No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8</w:t>
            </w: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ANDREOLI ALEX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ASSESSORE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Si</w:t>
            </w:r>
          </w:p>
        </w:tc>
      </w:tr>
      <w:tr w:rsidR="00F07E8B" w:rsidRPr="003D5F91" w:rsidTr="00FD3626">
        <w:trPr>
          <w:trHeight w:hRule="exact" w:val="227"/>
          <w:tblCellSpacing w:w="0" w:type="dxa"/>
          <w:jc w:val="center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</w:tc>
        <w:tc>
          <w:tcPr>
            <w:tcW w:w="1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Presenti N. 6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  <w:r w:rsidRPr="003D5F91">
              <w:rPr>
                <w:rFonts w:ascii="Arial" w:eastAsia="Times New Roman" w:hAnsi="Arial" w:cs="Arial"/>
                <w:sz w:val="15"/>
                <w:szCs w:val="15"/>
                <w:lang w:eastAsia="it-IT" w:bidi="ar-SA"/>
              </w:rPr>
              <w:t>Assenti N. 2</w:t>
            </w:r>
          </w:p>
        </w:tc>
        <w:tc>
          <w:tcPr>
            <w:tcW w:w="1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07E8B" w:rsidRPr="003D5F91" w:rsidRDefault="00F54DD0" w:rsidP="00832D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</w:tc>
      </w:tr>
    </w:tbl>
    <w:p w:rsidR="005754C2" w:rsidRPr="00F07E8B" w:rsidRDefault="00F54DD0" w:rsidP="00F07E8B">
      <w:pPr>
        <w:rPr>
          <w:rFonts w:hint="eastAsia"/>
        </w:rPr>
      </w:pPr>
    </w:p>
    <w:p w:rsidR="000C1153" w:rsidRDefault="00F54DD0" w:rsidP="00752669">
      <w:pPr>
        <w:spacing w:line="360" w:lineRule="auto"/>
        <w:ind w:firstLine="709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Il Presidente, constatato il numero legale degli intervenuti,  dichiara aperta l'adunanza ed invita i  presenti  alla  </w:t>
      </w:r>
      <w:r>
        <w:rPr>
          <w:rFonts w:ascii="Arial" w:eastAsia="Times New Roman" w:hAnsi="Arial" w:cs="Arial"/>
          <w:lang w:eastAsia="it-IT"/>
        </w:rPr>
        <w:t>trattazione   dell'argomento indicato in oggetto.  </w:t>
      </w:r>
    </w:p>
    <w:p w:rsidR="00E56935" w:rsidRPr="00752669" w:rsidRDefault="00F54DD0" w:rsidP="00752669">
      <w:pPr>
        <w:spacing w:line="360" w:lineRule="auto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="Arial" w:eastAsia="Times New Roman" w:hAnsi="Arial" w:cs="Arial"/>
          <w:lang w:eastAsia="it-IT"/>
        </w:rPr>
        <w:t>-------- *** --------</w:t>
      </w:r>
    </w:p>
    <w:p w:rsidR="006263D8" w:rsidRDefault="00F54DD0">
      <w:pPr>
        <w:rPr>
          <w:rFonts w:hint="eastAsia"/>
        </w:rPr>
      </w:pPr>
      <w:r>
        <w:br w:type="page"/>
      </w: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lastRenderedPageBreak/>
        <w:t>LA GIUNTA COMUNALE</w:t>
      </w:r>
    </w:p>
    <w:p w:rsidR="00A356D7" w:rsidRDefault="00A356D7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Visto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l’articolo 113 del D.Lgs. 18 aprile 2016, n. 50, e s.m.i. che testualmente dispone:</w:t>
      </w:r>
    </w:p>
    <w:p w:rsidR="00A356D7" w:rsidRDefault="00A356D7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PalatinoLinotype,Bold" w:hAnsi="Times New Roman" w:cs="Times New Roman"/>
          <w:b/>
          <w:bCs/>
          <w:i/>
          <w:color w:val="000000"/>
          <w:sz w:val="22"/>
          <w:szCs w:val="22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i/>
          <w:color w:val="000000"/>
          <w:sz w:val="22"/>
          <w:szCs w:val="22"/>
          <w:lang w:bidi="ar-SA"/>
        </w:rPr>
        <w:t>Art. 113. (Incentivi per funzioni tecniche)</w:t>
      </w: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i/>
          <w:color w:val="000000"/>
          <w:sz w:val="22"/>
          <w:szCs w:val="22"/>
          <w:lang w:bidi="ar-SA"/>
        </w:rPr>
        <w:t xml:space="preserve">1.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Gli oneri inerenti alla progettazione, alla direzione dei lavori ovvero al direttore dell'esecuzione, alla vigilanza, ai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collaudi tecnici e amministrativi ovvero alle verifiche di conformità, al collaudo statico, agli studi e alle ricerche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connessi, alla progettazione dei piani di sicurezza e di coordinamento e al coordinamento della sicurezza in fase di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esecuzione quando previsti ai sensi del </w:t>
      </w:r>
      <w:r w:rsidRPr="00A356D7">
        <w:rPr>
          <w:rFonts w:ascii="Times New Roman" w:eastAsia="PalatinoLinotype,Bold" w:hAnsi="Times New Roman" w:cs="Times New Roman"/>
          <w:i/>
          <w:color w:val="0000FF"/>
          <w:sz w:val="22"/>
          <w:szCs w:val="22"/>
          <w:lang w:bidi="ar-SA"/>
        </w:rPr>
        <w:t>decreto legislativo 9 aprile 2008 n. 81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, alle prestazioni professionali 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specialistiche necessari per la redazione di un progetto esecutivo completo in ogni dettaglio fanno carico agli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stanziamenti previsti per la realizzazione dei singoli lavori negli stati di previsione della spesa o nei bilanci delle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stazioni appaltanti.</w:t>
      </w: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i/>
          <w:color w:val="000000"/>
          <w:sz w:val="22"/>
          <w:szCs w:val="22"/>
          <w:lang w:bidi="ar-SA"/>
        </w:rPr>
        <w:t>2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. A valere sugli stanziamenti di cui al comma 1, le amministrazioni aggiudicatrici destinano ad un apposito fondo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risorse finanziarie in misura non superiore al 2 per cento modulate sull'importo dei lavori, servizi e forniture, posti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a base di gara per le funzioni tecniche svolte dai dipendenti delle stesse esclusivamente per le attività di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programmazione della spesa per investimenti, di valutazione preventiva dei progetti, di predisposizione e di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controllo delle procedure di gara e di esecuzione dei contratti pubblici, di RUP, di direzione dei lavori ovvero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direzione dell'esecuzione e di collaudo tecnico amministrativo ovvero di verifica di conformità, di collaudatore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statico ove necessario per consentire l'esecuzione del contratto nel rispetto dei documenti a base di gara, del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progetto, dei tempi e costi prestabiliti. Tale fondo non è previsto da parte di quelle amministrazioni aggiudicatrici</w:t>
      </w:r>
      <w:r w:rsidR="003371AD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per le quali sono in essere contratti o convenzioni che prevedono modalità diverse per la retribuzione delle funzioni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tecniche svolte dai propri dipendenti. Gli enti che costituiscono o si avvalgono di una centrale di committenza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possono destinare il fondo o parte di esso ai dipendenti di tale centrale. La disposizione di cui al presente comma si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applica agli appalti relativi a servizi o forniture nel caso in cui è nominat</w:t>
      </w:r>
      <w:r w:rsidR="006B2255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o il direttore dell'esecuzione.</w:t>
      </w: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i/>
          <w:color w:val="000000"/>
          <w:sz w:val="22"/>
          <w:szCs w:val="22"/>
          <w:lang w:bidi="ar-SA"/>
        </w:rPr>
        <w:t>3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. L'ottanta per cento delle risorse finanziarie del fondo costituito ai sensi del comma 2 è ripartito, per ciascuna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opera o lavoro, servizio, fornitura con le modalità e i criteri previsti in sede di contrattazione decentrata integrativa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del personale, sulla base di apposito regolamento adottato dalle amministrazioni secondo i rispettivi ordinamenti,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tra il responsabile unico del procedimento e i soggetti che svolgono le funzioni tecniche indicate al comma 1 nonché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tra i loro collaboratori. Gli importi sono comprensivi anche degli oneri previdenziali e assistenziali a carico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dell'amministrazione. L'amministrazione aggiudicatrice o l'ente aggiudicatore stabilisce i criteri e le modalità per la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riduzione delle risorse finanziarie connesse alla singola opera o lavoro a fronte di eventuali incrementi dei tempi o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dei costi non conformi alle norme del presente decreto. La corresponsione dell'incentivo è disposta dal dirigente o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dal responsabile di servizio preposto alla struttura competente, previo accertamento delle specifiche attività svolte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dai predetti dipendenti. Gli incentivi complessivamente corrisposti nel corso dell'anno al singolo dipendente, anche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da diverse amministrazioni, non possono superare l'importo del 50 per cento del trattamento economico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complessivo annuo lordo. Le quote parti dell'incentivo corrispondenti a prestazioni non svolte dai medesimi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dipendenti, in quanto affidate a personale esterno all'organico dell'amministrazione medesima, ovvero prive del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predetto accertamento, incrementano la quota del fondo di cui al comma 2. Il presente comma non si applica al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personale con qualifica dirigenziale</w:t>
      </w:r>
      <w:r w:rsidR="001F4B0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.</w:t>
      </w: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i/>
          <w:color w:val="000000"/>
          <w:sz w:val="22"/>
          <w:szCs w:val="22"/>
          <w:lang w:bidi="ar-SA"/>
        </w:rPr>
        <w:t xml:space="preserve">4.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Il restante 20 per cento delle risorse finanziarie del fondo di cui al comma 2 ad esclusione di risorse derivanti da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finanziamenti europei o da altri finanziamenti a destinazione vincolata è destinato all'acquisto da parte dell'ente di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beni, strumentazioni e tecnologie funzionali a progetti di innovazione anche per il progressivo uso di metodi 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strumenti elettronici specifici di modellazione elettronica informativa per l'edilizia e le infrastrutture, di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implementazione delle banche dati per il controllo e il miglioramento della capacità di spesa e di efficientamento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informatico, con particolare riferimento alle metodologie e strumentazioni elettroniche per i controlli. Una parte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delle risorse può essere utilizzato per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lastRenderedPageBreak/>
        <w:t>l'attivazione presso le amministrazioni aggiudicatrici di tirocini formativi e di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orientamento di cui all'articolo 18 della legge 24 giugno 1997, n. 196 o per lo svolgimento di dottorati di ricerca di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alta qualificazione nel settore dei contratti pubblici previa sottoscrizione di apposite convenzioni con le Università 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gli istituti scolastici superiori.</w:t>
      </w: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i/>
          <w:color w:val="000000"/>
          <w:sz w:val="22"/>
          <w:szCs w:val="22"/>
          <w:lang w:bidi="ar-SA"/>
        </w:rPr>
        <w:t xml:space="preserve">5.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Per i compiti svolti dal personale di una centrale unica di committenza nell'espletamento di procedure di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acquisizione di lavori, servizi e forniture per conto di altri enti, può essere riconosciuta, su richiesta della centrale</w:t>
      </w:r>
      <w:r w:rsidR="00A356D7"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color w:val="000000"/>
          <w:sz w:val="22"/>
          <w:szCs w:val="22"/>
          <w:lang w:bidi="ar-SA"/>
        </w:rPr>
        <w:t>unica di committenza, una quota parte, non superiore ad un quarto, dell'incentivo previsto dal comma 2.</w:t>
      </w: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Lato" w:hAnsi="Lato" w:hint="eastAsia"/>
          <w:color w:val="222222"/>
        </w:rPr>
      </w:pPr>
    </w:p>
    <w:p w:rsidR="00A356D7" w:rsidRP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  <w:r w:rsidRPr="005D1253">
        <w:rPr>
          <w:rFonts w:ascii="Times New Roman" w:hAnsi="Times New Roman" w:cs="Times New Roman"/>
          <w:b/>
          <w:color w:val="222222"/>
        </w:rPr>
        <w:t xml:space="preserve">Visto </w:t>
      </w:r>
      <w:r>
        <w:rPr>
          <w:rFonts w:ascii="Times New Roman" w:hAnsi="Times New Roman" w:cs="Times New Roman"/>
          <w:color w:val="222222"/>
        </w:rPr>
        <w:t xml:space="preserve">l’art. 1, comma 526 della </w:t>
      </w:r>
      <w:r w:rsidRPr="005D1253">
        <w:rPr>
          <w:rFonts w:ascii="Times New Roman" w:hAnsi="Times New Roman" w:cs="Times New Roman"/>
          <w:color w:val="222222"/>
        </w:rPr>
        <w:t xml:space="preserve">legge 27 dicembre 2017, n. 205, </w:t>
      </w:r>
      <w:r>
        <w:rPr>
          <w:rFonts w:ascii="Times New Roman" w:hAnsi="Times New Roman" w:cs="Times New Roman"/>
          <w:color w:val="222222"/>
        </w:rPr>
        <w:t xml:space="preserve">(legge di bilancio 2018), che </w:t>
      </w:r>
      <w:r w:rsidRPr="005D1253">
        <w:rPr>
          <w:rFonts w:ascii="Times New Roman" w:hAnsi="Times New Roman" w:cs="Times New Roman"/>
          <w:color w:val="222222"/>
        </w:rPr>
        <w:t xml:space="preserve">ha aggiunto all’articolo 113 del </w:t>
      </w:r>
      <w:r>
        <w:rPr>
          <w:rFonts w:ascii="Times New Roman" w:hAnsi="Times New Roman" w:cs="Times New Roman"/>
          <w:color w:val="222222"/>
        </w:rPr>
        <w:t>D</w:t>
      </w:r>
      <w:r w:rsidRPr="005D1253">
        <w:rPr>
          <w:rFonts w:ascii="Times New Roman" w:hAnsi="Times New Roman" w:cs="Times New Roman"/>
          <w:color w:val="222222"/>
        </w:rPr>
        <w:t>.</w:t>
      </w:r>
      <w:r>
        <w:rPr>
          <w:rFonts w:ascii="Times New Roman" w:hAnsi="Times New Roman" w:cs="Times New Roman"/>
          <w:color w:val="222222"/>
        </w:rPr>
        <w:t>L</w:t>
      </w:r>
      <w:r w:rsidRPr="005D1253">
        <w:rPr>
          <w:rFonts w:ascii="Times New Roman" w:hAnsi="Times New Roman" w:cs="Times New Roman"/>
          <w:color w:val="222222"/>
        </w:rPr>
        <w:t>gs. n. 75 del 2016, il comma 5-bis secondo il quale </w:t>
      </w:r>
      <w:r w:rsidRPr="005D1253">
        <w:rPr>
          <w:rStyle w:val="Emphasis0905ecbbcb1fef96d157fb92437fcbc6"/>
          <w:rFonts w:ascii="Times New Roman" w:hAnsi="Times New Roman" w:cs="Times New Roman"/>
          <w:color w:val="222222"/>
        </w:rPr>
        <w:t>“gli incentivi di cui al presente articolo fanno capo al medesimo capitolo di spesa previsto per i singoli lavori, servizi e forniture”.</w:t>
      </w: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</w:p>
    <w:p w:rsidR="009D762E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Tenuto conto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della statuizione della Corte dei Conti, Sezione Autonomie, che con Deliberazione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 xml:space="preserve">n. 6/SEZAUT/2018/QMIG 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del 10 aprile 2018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 xml:space="preserve">ha enunciato il seguente principio di diritto: </w:t>
      </w:r>
      <w:r w:rsidRPr="00A356D7">
        <w:rPr>
          <w:rFonts w:ascii="Times New Roman" w:eastAsia="PalatinoLinotype,Bold" w:hAnsi="Times New Roman" w:cs="Times New Roman"/>
          <w:i/>
          <w:iCs/>
          <w:color w:val="000000"/>
          <w:lang w:bidi="ar-SA"/>
        </w:rPr>
        <w:t>“Gli incentivi disciplinati</w:t>
      </w:r>
      <w:r w:rsidR="005D1253">
        <w:rPr>
          <w:rFonts w:ascii="Times New Roman" w:eastAsia="PalatinoLinotype,Bold" w:hAnsi="Times New Roman" w:cs="Times New Roman"/>
          <w:i/>
          <w:i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iCs/>
          <w:color w:val="000000"/>
          <w:lang w:bidi="ar-SA"/>
        </w:rPr>
        <w:t>dall’art. 113 del d.lgs. n. 50 del 2016 nel testo modificato dall’art. 1, comma 526, della legge n. 205 del 2017,</w:t>
      </w:r>
      <w:r w:rsidR="00C402A0">
        <w:rPr>
          <w:rFonts w:ascii="Times New Roman" w:eastAsia="PalatinoLinotype,Bold" w:hAnsi="Times New Roman" w:cs="Times New Roman"/>
          <w:i/>
          <w:i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iCs/>
          <w:color w:val="000000"/>
          <w:lang w:bidi="ar-SA"/>
        </w:rPr>
        <w:t>erogati su risorse finanziarie individuate ex lege facenti capo agli stessi capitoli sui quali gravano gli oneri</w:t>
      </w:r>
      <w:r w:rsidR="00C402A0">
        <w:rPr>
          <w:rFonts w:ascii="Times New Roman" w:eastAsia="PalatinoLinotype,Bold" w:hAnsi="Times New Roman" w:cs="Times New Roman"/>
          <w:i/>
          <w:i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iCs/>
          <w:color w:val="000000"/>
          <w:lang w:bidi="ar-SA"/>
        </w:rPr>
        <w:t>per i singoli lavori, servizi e forniture, non sono soggetti al vincolo posto al complessivo trattamento</w:t>
      </w:r>
      <w:r w:rsidR="00C402A0">
        <w:rPr>
          <w:rFonts w:ascii="Times New Roman" w:eastAsia="PalatinoLinotype,Bold" w:hAnsi="Times New Roman" w:cs="Times New Roman"/>
          <w:i/>
          <w:i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i/>
          <w:iCs/>
          <w:color w:val="000000"/>
          <w:lang w:bidi="ar-SA"/>
        </w:rPr>
        <w:t>economico accessorio dei dipendenti degli enti pubblici dall’art. 23, comma 2, del d.lgs. n. 75 del 2017”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;</w:t>
      </w:r>
    </w:p>
    <w:p w:rsidR="00C402A0" w:rsidRDefault="00C402A0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Considerato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che è necessario approvare il regolamento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 per la ripartizione delle risorse finanziarie del fondo costituito ai sensi dell’art. 113, comma 2, del D.Lgs. n. 50/2016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;</w:t>
      </w:r>
    </w:p>
    <w:p w:rsidR="00C402A0" w:rsidRDefault="00C402A0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Vista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la bozza del Regolamento allegata al presente atto per formarne parte integrante e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 xml:space="preserve">sostanziale, redatto sulla base delle modalità e dei criteri di ripartizione concordate 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nel corso della riunione tra le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parti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 xml:space="preserve">sindacali 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tenutasi il giorno </w:t>
      </w:r>
      <w:r w:rsidR="001F4B07">
        <w:rPr>
          <w:rFonts w:ascii="Times New Roman" w:eastAsia="PalatinoLinotype,Bold" w:hAnsi="Times New Roman" w:cs="Times New Roman"/>
          <w:color w:val="000000"/>
          <w:lang w:bidi="ar-SA"/>
        </w:rPr>
        <w:t>0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>6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.0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>9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.2018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>;</w:t>
      </w:r>
    </w:p>
    <w:p w:rsidR="00C402A0" w:rsidRDefault="00C402A0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Ritenuto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di doverla approvare;</w:t>
      </w:r>
    </w:p>
    <w:p w:rsidR="00C402A0" w:rsidRDefault="00C402A0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Visti:</w:t>
      </w:r>
    </w:p>
    <w:p w:rsidR="009D762E" w:rsidRPr="005D1253" w:rsidRDefault="009D762E" w:rsidP="00D52F26">
      <w:pPr>
        <w:pStyle w:val="ListParagraph0905ecbbcb1fef96d157fb92437fcbc6"/>
        <w:widowControl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5D1253">
        <w:rPr>
          <w:rFonts w:ascii="Times New Roman" w:eastAsia="PalatinoLinotype,Bold" w:hAnsi="Times New Roman" w:cs="Times New Roman"/>
          <w:color w:val="000000"/>
          <w:lang w:bidi="ar-SA"/>
        </w:rPr>
        <w:t>il D.Lgs. 18 agosto 2000, n. 267 recante: “Testo unico delle leggi sull’ordinamento degli Enti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 </w:t>
      </w:r>
      <w:r w:rsidRPr="005D1253">
        <w:rPr>
          <w:rFonts w:ascii="Times New Roman" w:eastAsia="PalatinoLinotype,Bold" w:hAnsi="Times New Roman" w:cs="Times New Roman"/>
          <w:color w:val="000000"/>
          <w:lang w:bidi="ar-SA"/>
        </w:rPr>
        <w:t>Locali”;</w:t>
      </w:r>
    </w:p>
    <w:p w:rsidR="009D762E" w:rsidRPr="005D1253" w:rsidRDefault="009D762E" w:rsidP="00D52F26">
      <w:pPr>
        <w:pStyle w:val="ListParagraph0905ecbbcb1fef96d157fb92437fcbc6"/>
        <w:widowControl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5D1253">
        <w:rPr>
          <w:rFonts w:ascii="Times New Roman" w:eastAsia="PalatinoLinotype,Bold" w:hAnsi="Times New Roman" w:cs="Times New Roman"/>
          <w:color w:val="000000"/>
          <w:lang w:bidi="ar-SA"/>
        </w:rPr>
        <w:t>il D.Lgs. 30 marzo 2001, n. 165 “Norme generali sull’ordinamento del lavoro alle dipendenze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 </w:t>
      </w:r>
      <w:r w:rsidRPr="005D1253">
        <w:rPr>
          <w:rFonts w:ascii="Times New Roman" w:eastAsia="PalatinoLinotype,Bold" w:hAnsi="Times New Roman" w:cs="Times New Roman"/>
          <w:color w:val="000000"/>
          <w:lang w:bidi="ar-SA"/>
        </w:rPr>
        <w:t>delle amministrazioni pubbliche”;</w:t>
      </w:r>
    </w:p>
    <w:p w:rsidR="009D762E" w:rsidRPr="00C402A0" w:rsidRDefault="009D762E" w:rsidP="00D52F26">
      <w:pPr>
        <w:pStyle w:val="ListParagraph0905ecbbcb1fef96d157fb92437fcbc6"/>
        <w:widowControl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C402A0">
        <w:rPr>
          <w:rFonts w:ascii="Times New Roman" w:eastAsia="PalatinoLinotype,Bold" w:hAnsi="Times New Roman" w:cs="Times New Roman"/>
          <w:color w:val="000000"/>
          <w:lang w:bidi="ar-SA"/>
        </w:rPr>
        <w:t>i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>l</w:t>
      </w:r>
      <w:r w:rsidRPr="00C402A0">
        <w:rPr>
          <w:rFonts w:ascii="Times New Roman" w:eastAsia="PalatinoLinotype,Bold" w:hAnsi="Times New Roman" w:cs="Times New Roman"/>
          <w:color w:val="000000"/>
          <w:lang w:bidi="ar-SA"/>
        </w:rPr>
        <w:t xml:space="preserve"> vigent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>e</w:t>
      </w:r>
      <w:r w:rsidRPr="00C402A0">
        <w:rPr>
          <w:rFonts w:ascii="Times New Roman" w:eastAsia="PalatinoLinotype,Bold" w:hAnsi="Times New Roman" w:cs="Times New Roman"/>
          <w:color w:val="000000"/>
          <w:lang w:bidi="ar-SA"/>
        </w:rPr>
        <w:t xml:space="preserve"> C.C.N.L. relativo al comparto </w:t>
      </w:r>
      <w:r w:rsidR="005D1253">
        <w:rPr>
          <w:rFonts w:ascii="Times New Roman" w:eastAsia="PalatinoLinotype,Bold" w:hAnsi="Times New Roman" w:cs="Times New Roman"/>
          <w:color w:val="000000"/>
          <w:lang w:bidi="ar-SA"/>
        </w:rPr>
        <w:t xml:space="preserve">Funzioni </w:t>
      </w:r>
      <w:r w:rsidRPr="00C402A0">
        <w:rPr>
          <w:rFonts w:ascii="Times New Roman" w:eastAsia="PalatinoLinotype,Bold" w:hAnsi="Times New Roman" w:cs="Times New Roman"/>
          <w:color w:val="000000"/>
          <w:lang w:bidi="ar-SA"/>
        </w:rPr>
        <w:t>locali;</w:t>
      </w:r>
    </w:p>
    <w:p w:rsidR="009D762E" w:rsidRPr="00C402A0" w:rsidRDefault="009D762E" w:rsidP="00D52F26">
      <w:pPr>
        <w:pStyle w:val="ListParagraph0905ecbbcb1fef96d157fb92437fcbc6"/>
        <w:widowControl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C402A0">
        <w:rPr>
          <w:rFonts w:ascii="Times New Roman" w:eastAsia="PalatinoLinotype,Bold" w:hAnsi="Times New Roman" w:cs="Times New Roman"/>
          <w:color w:val="000000"/>
          <w:lang w:bidi="ar-SA"/>
        </w:rPr>
        <w:t>il vigente Statuto Comunale;</w:t>
      </w:r>
    </w:p>
    <w:p w:rsidR="009D762E" w:rsidRPr="00C402A0" w:rsidRDefault="009D762E" w:rsidP="00D52F26">
      <w:pPr>
        <w:pStyle w:val="ListParagraph0905ecbbcb1fef96d157fb92437fcbc6"/>
        <w:widowControl/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C402A0">
        <w:rPr>
          <w:rFonts w:ascii="Times New Roman" w:eastAsia="PalatinoLinotype,Bold" w:hAnsi="Times New Roman" w:cs="Times New Roman"/>
          <w:color w:val="000000"/>
          <w:lang w:bidi="ar-SA"/>
        </w:rPr>
        <w:t>il vigente Regolamento di Contabilità;</w:t>
      </w:r>
    </w:p>
    <w:p w:rsidR="00C402A0" w:rsidRDefault="00C402A0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</w:p>
    <w:p w:rsidR="005D1253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Acquisit</w:t>
      </w:r>
      <w:r w:rsidR="005D1253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i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="005D1253" w:rsidRPr="005D1253">
        <w:rPr>
          <w:rFonts w:ascii="Times New Roman" w:eastAsia="PalatinoLinotype,Bold" w:hAnsi="Times New Roman" w:cs="Times New Roman"/>
          <w:bCs/>
          <w:color w:val="000000"/>
          <w:lang w:bidi="ar-SA"/>
        </w:rPr>
        <w:t>i seguenti pareri, ai sensi dell’art. 49 del D.Lgs. n. 267/2000:</w:t>
      </w: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>P</w:t>
      </w:r>
      <w:r w:rsidR="009D762E" w:rsidRPr="00A356D7">
        <w:rPr>
          <w:rFonts w:ascii="Times New Roman" w:eastAsia="PalatinoLinotype,Bold" w:hAnsi="Times New Roman" w:cs="Times New Roman"/>
          <w:color w:val="000000"/>
          <w:lang w:bidi="ar-SA"/>
        </w:rPr>
        <w:t>arere favorevole di regolarità tecnica</w:t>
      </w:r>
    </w:p>
    <w:p w:rsidR="008B38B3" w:rsidRDefault="008B38B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9D762E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 xml:space="preserve">Il Segretario </w:t>
      </w:r>
      <w:r w:rsidR="008B38B3">
        <w:rPr>
          <w:rFonts w:ascii="Times New Roman" w:eastAsia="PalatinoLinotype,Bold" w:hAnsi="Times New Roman" w:cs="Times New Roman"/>
          <w:color w:val="000000"/>
          <w:lang w:bidi="ar-SA"/>
        </w:rPr>
        <w:t>G</w:t>
      </w:r>
      <w:r>
        <w:rPr>
          <w:rFonts w:ascii="Times New Roman" w:eastAsia="PalatinoLinotype,Bold" w:hAnsi="Times New Roman" w:cs="Times New Roman"/>
          <w:color w:val="000000"/>
          <w:lang w:bidi="ar-SA"/>
        </w:rPr>
        <w:t>enerale – Dirigente ad interim Dip.to Affari Generali</w:t>
      </w: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>Dott. Giuliano Giulioni</w:t>
      </w: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 xml:space="preserve">Il Dirigente Dipartimento Finanziario/Personale </w:t>
      </w: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>D.ssa Anna Tiberi</w:t>
      </w: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>Il Dirigente Dipartimento del Territorio</w:t>
      </w: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>Ing. Roberto Vagnozzi</w:t>
      </w:r>
    </w:p>
    <w:p w:rsidR="005D1253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5D1253" w:rsidRPr="00A356D7" w:rsidRDefault="005D125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9D762E" w:rsidRPr="00A356D7" w:rsidRDefault="008B38B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>P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arere favorevole di regolarità</w:t>
      </w:r>
      <w:r>
        <w:rPr>
          <w:rFonts w:ascii="Times New Roman" w:eastAsia="PalatinoLinotype,Bold" w:hAnsi="Times New Roman" w:cs="Times New Roman"/>
          <w:color w:val="000000"/>
          <w:lang w:bidi="ar-SA"/>
        </w:rPr>
        <w:t xml:space="preserve"> </w:t>
      </w:r>
      <w:r w:rsidR="009D762E" w:rsidRPr="00A356D7">
        <w:rPr>
          <w:rFonts w:ascii="Times New Roman" w:eastAsia="PalatinoLinotype,Bold" w:hAnsi="Times New Roman" w:cs="Times New Roman"/>
          <w:color w:val="000000"/>
          <w:lang w:bidi="ar-SA"/>
        </w:rPr>
        <w:t xml:space="preserve">contabile </w:t>
      </w:r>
    </w:p>
    <w:p w:rsidR="008B38B3" w:rsidRDefault="008B38B3" w:rsidP="008B38B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 xml:space="preserve">Il Dirigente Dipartimento Finanziario/Personale </w:t>
      </w:r>
    </w:p>
    <w:p w:rsidR="008B38B3" w:rsidRDefault="008B38B3" w:rsidP="008B38B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>D.ssa Anna Tiberi</w:t>
      </w: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9D762E" w:rsidRDefault="008B38B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>Con votazione unanime e palese</w:t>
      </w:r>
    </w:p>
    <w:p w:rsidR="008B38B3" w:rsidRPr="00A356D7" w:rsidRDefault="008B38B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9D762E" w:rsidRPr="00A356D7" w:rsidRDefault="009D762E" w:rsidP="00C402A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D</w:t>
      </w:r>
      <w:r w:rsidR="00662AA8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E</w:t>
      </w:r>
      <w:r w:rsidR="00662AA8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L</w:t>
      </w:r>
      <w:r w:rsidR="00662AA8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I</w:t>
      </w:r>
      <w:r w:rsidR="00662AA8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B</w:t>
      </w:r>
      <w:r w:rsidR="00662AA8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E</w:t>
      </w:r>
      <w:r w:rsidR="00662AA8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R</w:t>
      </w:r>
      <w:r w:rsidR="00662AA8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A</w:t>
      </w:r>
    </w:p>
    <w:p w:rsidR="008B38B3" w:rsidRDefault="008B38B3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9D762E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1) di approvare il regolamento per la costituzione e la ripartizione del fondo per l</w:t>
      </w:r>
      <w:r w:rsidR="00D52F26">
        <w:rPr>
          <w:rFonts w:ascii="Times New Roman" w:eastAsia="PalatinoLinotype,Bold" w:hAnsi="Times New Roman" w:cs="Times New Roman"/>
          <w:color w:val="000000"/>
          <w:lang w:bidi="ar-SA"/>
        </w:rPr>
        <w:t xml:space="preserve">o svolgimento, da parte del personale interno, di funzioni tecniche relative ad appalti di lavori, servizi e forniture, di cui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all’articolo 113 del</w:t>
      </w:r>
      <w:r w:rsidR="00D52F26">
        <w:rPr>
          <w:rFonts w:ascii="Times New Roman" w:eastAsia="PalatinoLinotype,Bold" w:hAnsi="Times New Roman" w:cs="Times New Roman"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D.Lgs. 18 aprile 2016, n. 50 e successive modifiche e integrazioni, il quale viene allegato al</w:t>
      </w:r>
      <w:r w:rsidR="00D52F26">
        <w:rPr>
          <w:rFonts w:ascii="Times New Roman" w:eastAsia="PalatinoLinotype,Bold" w:hAnsi="Times New Roman" w:cs="Times New Roman"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presente provvedimento per farne parte integrante e sostanziale;</w:t>
      </w:r>
    </w:p>
    <w:p w:rsidR="00D52F26" w:rsidRPr="00A356D7" w:rsidRDefault="00D52F26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9D762E" w:rsidRPr="00A356D7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2) di trasmettere copia del presente provvedimento ai responsabili di servizio interessati.</w:t>
      </w:r>
    </w:p>
    <w:p w:rsidR="00D52F26" w:rsidRDefault="00D52F26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/>
          <w:bCs/>
          <w:i/>
          <w:iCs/>
          <w:color w:val="000000"/>
          <w:lang w:bidi="ar-SA"/>
        </w:rPr>
      </w:pPr>
    </w:p>
    <w:p w:rsidR="009D762E" w:rsidRPr="00D52F26" w:rsidRDefault="009D762E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Cs/>
          <w:iCs/>
          <w:color w:val="000000"/>
          <w:lang w:bidi="ar-SA"/>
        </w:rPr>
      </w:pPr>
      <w:r w:rsidRPr="00D52F26">
        <w:rPr>
          <w:rFonts w:ascii="Times New Roman" w:eastAsia="PalatinoLinotype,Bold" w:hAnsi="Times New Roman" w:cs="Times New Roman"/>
          <w:bCs/>
          <w:iCs/>
          <w:color w:val="000000"/>
          <w:lang w:bidi="ar-SA"/>
        </w:rPr>
        <w:t>Infine, con separata unanime votazione, stante l’urgenza di provvedere,</w:t>
      </w:r>
    </w:p>
    <w:p w:rsidR="00D52F26" w:rsidRPr="00D52F26" w:rsidRDefault="00D52F26" w:rsidP="00A356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PalatinoLinotype,Bold" w:hAnsi="Times New Roman" w:cs="Times New Roman"/>
          <w:bCs/>
          <w:color w:val="000000"/>
          <w:lang w:bidi="ar-SA"/>
        </w:rPr>
      </w:pPr>
    </w:p>
    <w:p w:rsidR="009D762E" w:rsidRPr="00A356D7" w:rsidRDefault="009D762E" w:rsidP="00D52F2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D</w:t>
      </w:r>
      <w:r w:rsidR="00363D0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E</w:t>
      </w:r>
      <w:r w:rsidR="00363D0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L</w:t>
      </w:r>
      <w:r w:rsidR="00363D0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I</w:t>
      </w:r>
      <w:r w:rsidR="00363D0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B</w:t>
      </w:r>
      <w:r w:rsidR="00363D0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E</w:t>
      </w:r>
      <w:r w:rsidR="00363D0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R</w:t>
      </w:r>
      <w:r w:rsidR="00363D0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 xml:space="preserve"> </w:t>
      </w:r>
      <w:r w:rsidRPr="00A356D7">
        <w:rPr>
          <w:rFonts w:ascii="Times New Roman" w:eastAsia="PalatinoLinotype,Bold" w:hAnsi="Times New Roman" w:cs="Times New Roman"/>
          <w:b/>
          <w:bCs/>
          <w:color w:val="000000"/>
          <w:lang w:bidi="ar-SA"/>
        </w:rPr>
        <w:t>A</w:t>
      </w:r>
    </w:p>
    <w:p w:rsidR="00D52F26" w:rsidRDefault="00D52F26" w:rsidP="00D52F26">
      <w:pPr>
        <w:tabs>
          <w:tab w:val="left" w:pos="3706"/>
        </w:tabs>
        <w:jc w:val="center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052DEB" w:rsidRDefault="009D762E" w:rsidP="00A356D7">
      <w:pPr>
        <w:tabs>
          <w:tab w:val="left" w:pos="3706"/>
        </w:tabs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  <w:r w:rsidRPr="00A356D7">
        <w:rPr>
          <w:rFonts w:ascii="Times New Roman" w:eastAsia="PalatinoLinotype,Bold" w:hAnsi="Times New Roman" w:cs="Times New Roman"/>
          <w:color w:val="000000"/>
          <w:lang w:bidi="ar-SA"/>
        </w:rPr>
        <w:t>di dichiarare la presente deliberazione immediatamente eseguibile ai sensi dell’art. 134, comma 4</w:t>
      </w:r>
      <w:r w:rsidR="00363D07">
        <w:rPr>
          <w:rFonts w:ascii="Times New Roman" w:eastAsia="PalatinoLinotype,Bold" w:hAnsi="Times New Roman" w:cs="Times New Roman"/>
          <w:color w:val="000000"/>
          <w:lang w:bidi="ar-SA"/>
        </w:rPr>
        <w:t xml:space="preserve"> del D.Lgs. n. 267/2000.</w:t>
      </w:r>
    </w:p>
    <w:p w:rsidR="00052DEB" w:rsidRDefault="00052DEB" w:rsidP="00A356D7">
      <w:pPr>
        <w:tabs>
          <w:tab w:val="left" w:pos="3706"/>
        </w:tabs>
        <w:jc w:val="both"/>
        <w:rPr>
          <w:rFonts w:ascii="Times New Roman" w:eastAsia="PalatinoLinotype,Bold" w:hAnsi="Times New Roman" w:cs="Times New Roman"/>
          <w:color w:val="000000"/>
          <w:lang w:bidi="ar-SA"/>
        </w:rPr>
      </w:pPr>
    </w:p>
    <w:p w:rsidR="0000082F" w:rsidRPr="00A356D7" w:rsidRDefault="00052DEB" w:rsidP="00052DEB">
      <w:pPr>
        <w:tabs>
          <w:tab w:val="left" w:pos="3706"/>
        </w:tabs>
        <w:jc w:val="center"/>
        <w:rPr>
          <w:rFonts w:ascii="Times New Roman" w:hAnsi="Times New Roman" w:cs="Times New Roman"/>
        </w:rPr>
      </w:pPr>
      <w:r>
        <w:rPr>
          <w:rFonts w:ascii="Times New Roman" w:eastAsia="PalatinoLinotype,Bold" w:hAnsi="Times New Roman" w:cs="Times New Roman"/>
          <w:color w:val="000000"/>
          <w:lang w:bidi="ar-SA"/>
        </w:rPr>
        <w:t>--------***--------</w:t>
      </w:r>
    </w:p>
    <w:p w:rsidR="00951F78" w:rsidRDefault="00951F78" w:rsidP="00A356D7">
      <w:pPr>
        <w:jc w:val="both"/>
        <w:rPr>
          <w:rFonts w:ascii="Times New Roman" w:hAnsi="Times New Roman" w:cs="Times New Roman"/>
        </w:rPr>
      </w:pPr>
    </w:p>
    <w:p w:rsidR="009558EA" w:rsidRDefault="009558EA" w:rsidP="00A356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58EA" w:rsidRDefault="009558EA" w:rsidP="00A356D7">
      <w:pPr>
        <w:jc w:val="both"/>
        <w:rPr>
          <w:rFonts w:ascii="Times New Roman" w:hAnsi="Times New Roman" w:cs="Times New Roman"/>
        </w:rPr>
      </w:pPr>
    </w:p>
    <w:p w:rsidR="009558EA" w:rsidRPr="00A356D7" w:rsidRDefault="009558EA" w:rsidP="00A356D7">
      <w:pPr>
        <w:jc w:val="both"/>
        <w:rPr>
          <w:rFonts w:ascii="Times New Roman" w:hAnsi="Times New Roman" w:cs="Times New Roman"/>
        </w:rPr>
      </w:pPr>
    </w:p>
    <w:p w:rsidR="006263D8" w:rsidRDefault="00F54DD0">
      <w:pPr>
        <w:rPr>
          <w:rFonts w:hint="eastAsia"/>
        </w:rPr>
      </w:pPr>
      <w:r>
        <w:br w:type="page"/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 presente verbale viene letto, approvato e sottoscritto. 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tabs>
          <w:tab w:val="center" w:pos="2268"/>
          <w:tab w:val="center" w:pos="7230"/>
        </w:tabs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ab/>
        <w:t>IL SEGRETARIO GENERALE</w:t>
      </w:r>
      <w:r>
        <w:rPr>
          <w:rFonts w:ascii="Arial" w:eastAsia="Times New Roman" w:hAnsi="Arial" w:cs="Arial"/>
          <w:b/>
          <w:lang w:eastAsia="it-IT"/>
        </w:rPr>
        <w:tab/>
        <w:t>IL SINDACO </w:t>
      </w:r>
    </w:p>
    <w:p w:rsidR="004E3CFE" w:rsidRDefault="00F54DD0" w:rsidP="004E3CFE">
      <w:pPr>
        <w:tabs>
          <w:tab w:val="center" w:pos="2268"/>
          <w:tab w:val="center" w:pos="7230"/>
        </w:tabs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lang w:eastAsia="it-IT"/>
        </w:rPr>
        <w:tab/>
        <w:t xml:space="preserve">Dott. </w:t>
      </w:r>
      <w:r>
        <w:rPr>
          <w:rFonts w:ascii="Arial" w:eastAsia="Times New Roman" w:hAnsi="Arial" w:cs="Arial"/>
          <w:lang w:eastAsia="it-IT"/>
        </w:rPr>
        <w:t> GIULIONI GIULIANO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Dott. </w:t>
      </w:r>
      <w:r>
        <w:rPr>
          <w:rFonts w:ascii="Arial" w:eastAsia="Times New Roman" w:hAnsi="Arial" w:cs="Arial"/>
          <w:lang w:eastAsia="it-IT"/>
        </w:rPr>
        <w:t>PUGNALONI SIMONE</w:t>
      </w:r>
    </w:p>
    <w:p w:rsidR="004E3CFE" w:rsidRDefault="00F54DD0" w:rsidP="004E3CFE">
      <w:pPr>
        <w:tabs>
          <w:tab w:val="center" w:pos="2268"/>
          <w:tab w:val="center" w:pos="7230"/>
        </w:tabs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pBdr>
          <w:bottom w:val="single" w:sz="4" w:space="1" w:color="auto"/>
        </w:pBd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 </w:t>
      </w:r>
    </w:p>
    <w:p w:rsidR="004E3CFE" w:rsidRDefault="00F54DD0" w:rsidP="004E3CFE">
      <w:pPr>
        <w:jc w:val="center"/>
        <w:rPr>
          <w:rFonts w:ascii="Arial" w:eastAsia="Times New Roman" w:hAnsi="Arial" w:cs="Arial"/>
          <w:b/>
          <w:lang w:eastAsia="it-IT"/>
        </w:rPr>
      </w:pPr>
    </w:p>
    <w:p w:rsidR="004E3CFE" w:rsidRDefault="00F54DD0" w:rsidP="004E3CFE">
      <w:pPr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CERTIFICATO DI PUBBLICAZIONE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  <w:r>
        <w:rPr>
          <w:rFonts w:ascii="Arial" w:eastAsia="Times New Roman" w:hAnsi="Arial" w:cs="Arial"/>
          <w:lang w:eastAsia="it-IT"/>
        </w:rPr>
        <w:tab/>
        <w:t xml:space="preserve">Si certifica dal sottoscritto Segretario Generale che copia della presente 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</w:p>
    <w:p w:rsidR="004E3CFE" w:rsidRDefault="00F54DD0" w:rsidP="004E3CFE">
      <w:pPr>
        <w:ind w:firstLine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deliberazione è stata  pubblicata mediante inserimento all’Albo Pretorio online 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</w:p>
    <w:p w:rsidR="004E3CFE" w:rsidRDefault="00F54DD0" w:rsidP="004E3CFE">
      <w:pPr>
        <w:ind w:firstLine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istituito presso</w:t>
      </w:r>
      <w:r>
        <w:rPr>
          <w:rFonts w:ascii="Arial" w:eastAsia="Times New Roman" w:hAnsi="Arial" w:cs="Arial"/>
          <w:lang w:eastAsia="it-IT"/>
        </w:rPr>
        <w:t xml:space="preserve"> il sito istituzionale dell’Ente 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 xml:space="preserve">il      </w:t>
      </w:r>
      <w:r>
        <w:rPr>
          <w:rFonts w:ascii="Arial" w:eastAsia="Times New Roman" w:hAnsi="Arial" w:cs="Arial"/>
          <w:b/>
          <w:lang w:eastAsia="it-IT"/>
        </w:rPr>
        <w:t>27/09/2018</w:t>
      </w:r>
      <w:r>
        <w:rPr>
          <w:rFonts w:ascii="Arial" w:eastAsia="Times New Roman" w:hAnsi="Arial" w:cs="Arial"/>
          <w:lang w:eastAsia="it-IT"/>
        </w:rPr>
        <w:t>      e vi rimarrà</w:t>
      </w:r>
    </w:p>
    <w:p w:rsidR="004E3CFE" w:rsidRDefault="00F54DD0" w:rsidP="004E3CFE">
      <w:pPr>
        <w:jc w:val="center"/>
        <w:rPr>
          <w:rFonts w:ascii="Arial" w:eastAsia="Times New Roman" w:hAnsi="Arial" w:cs="Arial"/>
          <w:lang w:eastAsia="it-IT"/>
        </w:rPr>
      </w:pPr>
    </w:p>
    <w:p w:rsidR="004E3CFE" w:rsidRDefault="00F54DD0" w:rsidP="004E3CFE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per 15 giorni consecutivi  ai  sensi e per gli  effetti </w:t>
      </w:r>
    </w:p>
    <w:p w:rsidR="004E3CFE" w:rsidRDefault="00F54DD0" w:rsidP="004E3CFE">
      <w:pPr>
        <w:jc w:val="center"/>
        <w:rPr>
          <w:rFonts w:ascii="Arial" w:eastAsia="Times New Roman" w:hAnsi="Arial" w:cs="Arial"/>
          <w:lang w:eastAsia="it-IT"/>
        </w:rPr>
      </w:pPr>
    </w:p>
    <w:p w:rsidR="004E3CFE" w:rsidRDefault="00F54DD0" w:rsidP="004E3CFE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dell'art. 124 del D.Lgs. n. 267 del 18 agosto 2000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              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 xml:space="preserve">  Dal Municipio, lì </w:t>
      </w:r>
      <w:r>
        <w:rPr>
          <w:rFonts w:ascii="Arial" w:eastAsia="Times New Roman" w:hAnsi="Arial" w:cs="Arial"/>
          <w:b/>
          <w:lang w:eastAsia="it-IT"/>
        </w:rPr>
        <w:t>27/09/2018</w:t>
      </w: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IL  SEGRETARIO </w:t>
      </w:r>
      <w:r>
        <w:rPr>
          <w:rFonts w:ascii="Arial" w:eastAsia="Times New Roman" w:hAnsi="Arial" w:cs="Arial"/>
          <w:b/>
          <w:lang w:eastAsia="it-IT"/>
        </w:rPr>
        <w:t>GENERALE</w:t>
      </w:r>
    </w:p>
    <w:p w:rsidR="004E3CFE" w:rsidRDefault="00F54DD0" w:rsidP="004E3CFE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Dott.  GIULIONI GIULIANO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pBdr>
          <w:bottom w:val="single" w:sz="4" w:space="1" w:color="auto"/>
        </w:pBd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 </w:t>
      </w: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                </w:t>
      </w:r>
    </w:p>
    <w:p w:rsidR="004E3CFE" w:rsidRDefault="00F54DD0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</w:p>
    <w:p w:rsidR="004E3CFE" w:rsidRDefault="00F54DD0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 presente è stata trasmessa</w:t>
      </w:r>
    </w:p>
    <w:p w:rsidR="004E3CFE" w:rsidRDefault="00F54DD0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ai Capigruppo Consiliari</w:t>
      </w:r>
    </w:p>
    <w:p w:rsidR="004E3CFE" w:rsidRDefault="00F54DD0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 </w:t>
      </w:r>
      <w:r>
        <w:rPr>
          <w:rFonts w:ascii="Arial" w:eastAsia="Times New Roman" w:hAnsi="Arial" w:cs="Arial"/>
          <w:b/>
          <w:lang w:eastAsia="it-IT"/>
        </w:rPr>
        <w:t>27/09/2018</w:t>
      </w:r>
      <w:r>
        <w:rPr>
          <w:rFonts w:ascii="Arial" w:eastAsia="Times New Roman" w:hAnsi="Arial" w:cs="Arial"/>
          <w:lang w:eastAsia="it-IT"/>
        </w:rPr>
        <w:t>   nota n.</w:t>
      </w:r>
      <w:r w:rsidRPr="00894C51">
        <w:rPr>
          <w:rFonts w:ascii="Arial" w:eastAsia="Times New Roman" w:hAnsi="Arial" w:cs="Arial"/>
          <w:b/>
          <w:lang w:eastAsia="it-IT"/>
        </w:rPr>
        <w:t xml:space="preserve"> </w:t>
      </w:r>
    </w:p>
    <w:p w:rsidR="004E3CFE" w:rsidRDefault="00F54DD0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ed è divenuta esecutiva il __________</w:t>
      </w:r>
    </w:p>
    <w:p w:rsidR="004E3CFE" w:rsidRDefault="00F54DD0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ai sensi art.134,c. 3, D.Lgs.n.267/2000  </w:t>
      </w:r>
    </w:p>
    <w:p w:rsidR="004E3CFE" w:rsidRDefault="00F54DD0" w:rsidP="004E3C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Arial" w:eastAsia="Times New Roman" w:hAnsi="Arial" w:cs="Arial"/>
          <w:lang w:eastAsia="it-IT"/>
        </w:rPr>
      </w:pPr>
    </w:p>
    <w:p w:rsidR="004E3CFE" w:rsidRDefault="00F54DD0" w:rsidP="004E3CFE">
      <w:pPr>
        <w:rPr>
          <w:rFonts w:ascii="Arial" w:eastAsia="Times New Roman" w:hAnsi="Arial" w:cs="Arial"/>
          <w:lang w:eastAsia="it-IT"/>
        </w:rPr>
      </w:pPr>
    </w:p>
    <w:p w:rsidR="00166CC9" w:rsidRPr="004E3CFE" w:rsidRDefault="00F54DD0" w:rsidP="004E3CFE">
      <w:pPr>
        <w:rPr>
          <w:rFonts w:hint="eastAsia"/>
        </w:rPr>
      </w:pPr>
    </w:p>
    <w:sectPr w:rsidR="00166CC9" w:rsidRPr="004E3CF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07" w:rsidRDefault="00363D07" w:rsidP="0000082F">
      <w:pPr>
        <w:rPr>
          <w:rFonts w:hint="eastAsia"/>
        </w:rPr>
      </w:pPr>
      <w:r>
        <w:separator/>
      </w:r>
    </w:p>
  </w:endnote>
  <w:endnote w:type="continuationSeparator" w:id="0">
    <w:p w:rsidR="00363D07" w:rsidRDefault="00363D07" w:rsidP="000008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07" w:rsidRDefault="00363D0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>ATTO DELLA GIUNTA COMUNALE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tab/>
    </w:r>
    <w:r>
      <w:rPr>
        <w:rFonts w:ascii="Times New Roman" w:eastAsia="Times New Roman" w:hAnsi="Times New Roman" w:cs="Times New Roman"/>
        <w:sz w:val="16"/>
        <w:szCs w:val="16"/>
        <w:lang w:eastAsia="it-IT"/>
      </w:rPr>
      <w:tab/>
      <w:t xml:space="preserve">Pag. 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  <w:lang w:eastAsia="it-IT"/>
      </w:rPr>
      <w:instrText xml:space="preserve"> PAGE </w:instrText>
    </w:r>
    <w:r>
      <w:rPr>
        <w:rFonts w:ascii="Times New Roman" w:eastAsia="Times New Roman" w:hAnsi="Times New Roman" w:cs="Times New Roman"/>
        <w:sz w:val="16"/>
        <w:szCs w:val="16"/>
        <w:lang w:eastAsia="it-IT"/>
      </w:rPr>
      <w:fldChar w:fldCharType="separate"/>
    </w:r>
    <w:r w:rsidR="00F54DD0">
      <w:rPr>
        <w:rFonts w:ascii="Times New Roman" w:eastAsia="Times New Roman" w:hAnsi="Times New Roman" w:cs="Times New Roman"/>
        <w:noProof/>
        <w:sz w:val="16"/>
        <w:szCs w:val="16"/>
        <w:lang w:eastAsia="it-IT"/>
      </w:rPr>
      <w:t>1</w:t>
    </w:r>
    <w:r>
      <w:rPr>
        <w:rFonts w:ascii="Times New Roman" w:eastAsia="Times New Roman" w:hAnsi="Times New Roman" w:cs="Times New Roman"/>
        <w:sz w:val="16"/>
        <w:szCs w:val="16"/>
        <w:lang w:eastAsia="it-IT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di </w:t>
    </w:r>
    <w:r>
      <w:rPr>
        <w:rFonts w:ascii="Times New Roman" w:eastAsia="Times New Roman" w:hAnsi="Times New Roman" w:cs="Times New Roman"/>
        <w:sz w:val="16"/>
        <w:lang w:eastAsia="it-IT"/>
      </w:rPr>
      <w:fldChar w:fldCharType="begin"/>
    </w:r>
    <w:r>
      <w:rPr>
        <w:rFonts w:ascii="Times New Roman" w:eastAsia="Times New Roman" w:hAnsi="Times New Roman" w:cs="Times New Roman"/>
        <w:sz w:val="16"/>
        <w:lang w:eastAsia="it-IT"/>
      </w:rPr>
      <w:instrText xml:space="preserve"> NUMPAGES </w:instrText>
    </w:r>
    <w:r>
      <w:rPr>
        <w:rFonts w:ascii="Times New Roman" w:eastAsia="Times New Roman" w:hAnsi="Times New Roman" w:cs="Times New Roman"/>
        <w:sz w:val="16"/>
        <w:lang w:eastAsia="it-IT"/>
      </w:rPr>
      <w:fldChar w:fldCharType="separate"/>
    </w:r>
    <w:r w:rsidR="00F54DD0">
      <w:rPr>
        <w:rFonts w:ascii="Times New Roman" w:eastAsia="Times New Roman" w:hAnsi="Times New Roman" w:cs="Times New Roman"/>
        <w:noProof/>
        <w:sz w:val="16"/>
        <w:lang w:eastAsia="it-IT"/>
      </w:rPr>
      <w:t>5</w:t>
    </w:r>
    <w:r>
      <w:rPr>
        <w:rFonts w:ascii="Times New Roman" w:eastAsia="Times New Roman" w:hAnsi="Times New Roman" w:cs="Times New Roman"/>
        <w:sz w:val="16"/>
        <w:lang w:eastAsia="it-IT"/>
      </w:rPr>
      <w:fldChar w:fldCharType="end"/>
    </w:r>
  </w:p>
  <w:p w:rsidR="00363D07" w:rsidRDefault="00363D0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16"/>
        <w:szCs w:val="16"/>
        <w:lang w:eastAsia="it-IT"/>
      </w:rPr>
    </w:pPr>
    <w:r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Seduta del 13/09/2018 n. 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07" w:rsidRDefault="00363D07" w:rsidP="0000082F">
      <w:pPr>
        <w:rPr>
          <w:rFonts w:hint="eastAsia"/>
        </w:rPr>
      </w:pPr>
      <w:r>
        <w:separator/>
      </w:r>
    </w:p>
  </w:footnote>
  <w:footnote w:type="continuationSeparator" w:id="0">
    <w:p w:rsidR="00363D07" w:rsidRDefault="00363D07" w:rsidP="000008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07" w:rsidRDefault="00363D07">
    <w:pPr>
      <w:ind w:left="-426"/>
      <w:rPr>
        <w:rFonts w:ascii="Times New Roman" w:eastAsia="Times New Roman" w:hAnsi="Times New Roman" w:cs="Times New Roman"/>
        <w:b/>
        <w:lang w:eastAsia="it-IT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-144145</wp:posOffset>
          </wp:positionV>
          <wp:extent cx="1444625" cy="1776730"/>
          <wp:effectExtent l="19050" t="0" r="3175" b="0"/>
          <wp:wrapNone/>
          <wp:docPr id="1" name="Immagin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177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3D07" w:rsidRDefault="00363D0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szCs w:val="52"/>
        <w:lang w:eastAsia="it-IT"/>
      </w:rPr>
    </w:pPr>
  </w:p>
  <w:p w:rsidR="00363D07" w:rsidRDefault="00363D0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363D07" w:rsidRDefault="00363D0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363D07" w:rsidRDefault="00363D0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363D07" w:rsidRDefault="00363D0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363D07" w:rsidRDefault="00363D0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</w:p>
  <w:p w:rsidR="00363D07" w:rsidRDefault="00363D07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b/>
        <w:sz w:val="22"/>
        <w:szCs w:val="22"/>
        <w:lang w:eastAsia="it-IT"/>
      </w:rPr>
    </w:pPr>
  </w:p>
  <w:p w:rsidR="00363D07" w:rsidRDefault="00363D07">
    <w:pPr>
      <w:pStyle w:val="header0905ecbbcb1fef96d157fb92437fcbc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7B75"/>
    <w:multiLevelType w:val="hybridMultilevel"/>
    <w:tmpl w:val="A29602A8"/>
    <w:lvl w:ilvl="0" w:tplc="7A826532">
      <w:start w:val="14"/>
      <w:numFmt w:val="bullet"/>
      <w:lvlText w:val="-"/>
      <w:lvlJc w:val="left"/>
      <w:pPr>
        <w:ind w:left="720" w:hanging="360"/>
      </w:pPr>
      <w:rPr>
        <w:rFonts w:ascii="Times New Roman" w:eastAsia="PalatinoLinotype,Bol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1F78"/>
    <w:rsid w:val="0000082F"/>
    <w:rsid w:val="00052DEB"/>
    <w:rsid w:val="001F4B07"/>
    <w:rsid w:val="003371AD"/>
    <w:rsid w:val="00363D07"/>
    <w:rsid w:val="005D1253"/>
    <w:rsid w:val="006263D8"/>
    <w:rsid w:val="0066240D"/>
    <w:rsid w:val="00662AA8"/>
    <w:rsid w:val="006B2255"/>
    <w:rsid w:val="008B38B3"/>
    <w:rsid w:val="00951F78"/>
    <w:rsid w:val="009558EA"/>
    <w:rsid w:val="009C20C4"/>
    <w:rsid w:val="009D762E"/>
    <w:rsid w:val="00A356D7"/>
    <w:rsid w:val="00C402A0"/>
    <w:rsid w:val="00D52F26"/>
    <w:rsid w:val="00F5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5B7D-278A-42FA-8C63-6928BBDE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F78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951F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951F78"/>
    <w:pPr>
      <w:spacing w:after="140" w:line="288" w:lineRule="auto"/>
    </w:pPr>
  </w:style>
  <w:style w:type="paragraph" w:styleId="Elenco">
    <w:name w:val="List"/>
    <w:basedOn w:val="Corpotesto"/>
    <w:rsid w:val="00951F78"/>
  </w:style>
  <w:style w:type="paragraph" w:styleId="Didascalia">
    <w:name w:val="caption"/>
    <w:basedOn w:val="Normale"/>
    <w:rsid w:val="00951F7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951F78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0082F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082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0082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082F"/>
    <w:rPr>
      <w:szCs w:val="21"/>
    </w:rPr>
  </w:style>
  <w:style w:type="paragraph" w:styleId="Paragrafoelenco">
    <w:name w:val="List Paragraph"/>
    <w:basedOn w:val="Normale"/>
    <w:uiPriority w:val="34"/>
    <w:qFormat/>
    <w:rsid w:val="00C402A0"/>
    <w:pPr>
      <w:ind w:left="720"/>
      <w:contextualSpacing/>
    </w:pPr>
    <w:rPr>
      <w:szCs w:val="21"/>
    </w:rPr>
  </w:style>
  <w:style w:type="character" w:styleId="Enfasicorsivo">
    <w:name w:val="Emphasis"/>
    <w:basedOn w:val="Carpredefinitoparagrafo"/>
    <w:uiPriority w:val="20"/>
    <w:qFormat/>
    <w:rsid w:val="005D1253"/>
    <w:rPr>
      <w:i/>
      <w:iCs/>
    </w:rPr>
  </w:style>
  <w:style w:type="paragraph" w:customStyle="1" w:styleId="Normal0905ecbbcb1fef96d157fb92437fcbc6">
    <w:name w:val="Normal 0905ecbbcb1fef96d157fb92437fcbc6"/>
    <w:rsid w:val="00951F78"/>
    <w:pPr>
      <w:widowControl w:val="0"/>
      <w:suppressAutoHyphens/>
    </w:pPr>
  </w:style>
  <w:style w:type="character" w:customStyle="1" w:styleId="DefaultParagraphFont0905ecbbcb1fef96d157fb92437fcbc6">
    <w:name w:val="Default Paragraph Font 0905ecbbcb1fef96d157fb92437fcbc6"/>
    <w:uiPriority w:val="1"/>
    <w:semiHidden/>
    <w:unhideWhenUsed/>
  </w:style>
  <w:style w:type="table" w:customStyle="1" w:styleId="NormalTable0905ecbbcb1fef96d157fb92437fcbc6">
    <w:name w:val="Normal Table 0905ecbbcb1fef96d157fb92437fcbc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905ecbbcb1fef96d157fb92437fcbc6">
    <w:name w:val="No List 0905ecbbcb1fef96d157fb92437fcbc6"/>
    <w:uiPriority w:val="99"/>
    <w:semiHidden/>
    <w:unhideWhenUsed/>
  </w:style>
  <w:style w:type="paragraph" w:customStyle="1" w:styleId="Title0905ecbbcb1fef96d157fb92437fcbc6">
    <w:name w:val="Title 0905ecbbcb1fef96d157fb92437fcbc6"/>
    <w:basedOn w:val="Normal0905ecbbcb1fef96d157fb92437fcbc6"/>
    <w:next w:val="Corpotesto"/>
    <w:rsid w:val="00951F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0905ecbbcb1fef96d157fb92437fcbc6">
    <w:name w:val="Body Text 0905ecbbcb1fef96d157fb92437fcbc6"/>
    <w:basedOn w:val="Normal0905ecbbcb1fef96d157fb92437fcbc6"/>
    <w:rsid w:val="00951F78"/>
    <w:pPr>
      <w:spacing w:after="140" w:line="288" w:lineRule="auto"/>
    </w:pPr>
  </w:style>
  <w:style w:type="paragraph" w:customStyle="1" w:styleId="List0905ecbbcb1fef96d157fb92437fcbc6">
    <w:name w:val="List 0905ecbbcb1fef96d157fb92437fcbc6"/>
    <w:basedOn w:val="BodyText0905ecbbcb1fef96d157fb92437fcbc6"/>
    <w:rsid w:val="00951F78"/>
  </w:style>
  <w:style w:type="paragraph" w:customStyle="1" w:styleId="caption0905ecbbcb1fef96d157fb92437fcbc6">
    <w:name w:val="caption 0905ecbbcb1fef96d157fb92437fcbc6"/>
    <w:basedOn w:val="Normal0905ecbbcb1fef96d157fb92437fcbc6"/>
    <w:rsid w:val="00951F78"/>
    <w:pPr>
      <w:suppressLineNumbers/>
      <w:spacing w:before="120" w:after="120"/>
    </w:pPr>
    <w:rPr>
      <w:i/>
      <w:iCs/>
    </w:rPr>
  </w:style>
  <w:style w:type="paragraph" w:customStyle="1" w:styleId="Indice0905ecbbcb1fef96d157fb92437fcbc6">
    <w:name w:val="Indice 0905ecbbcb1fef96d157fb92437fcbc6"/>
    <w:basedOn w:val="Normal0905ecbbcb1fef96d157fb92437fcbc6"/>
    <w:rsid w:val="00951F78"/>
    <w:pPr>
      <w:suppressLineNumbers/>
    </w:pPr>
  </w:style>
  <w:style w:type="paragraph" w:customStyle="1" w:styleId="header0905ecbbcb1fef96d157fb92437fcbc6">
    <w:name w:val="header 0905ecbbcb1fef96d157fb92437fcbc6"/>
    <w:basedOn w:val="Normal0905ecbbcb1fef96d157fb92437fcbc6"/>
    <w:link w:val="IntestazioneCarattere0905ecbbcb1fef96d157fb92437fcbc6"/>
    <w:uiPriority w:val="99"/>
    <w:semiHidden/>
    <w:unhideWhenUsed/>
    <w:rsid w:val="0000082F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stazioneCarattere0905ecbbcb1fef96d157fb92437fcbc6">
    <w:name w:val="Intestazione Carattere 0905ecbbcb1fef96d157fb92437fcbc6"/>
    <w:basedOn w:val="DefaultParagraphFont0905ecbbcb1fef96d157fb92437fcbc6"/>
    <w:link w:val="header0905ecbbcb1fef96d157fb92437fcbc6"/>
    <w:uiPriority w:val="99"/>
    <w:semiHidden/>
    <w:rsid w:val="0000082F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footer0905ecbbcb1fef96d157fb92437fcbc6">
    <w:name w:val="footer 0905ecbbcb1fef96d157fb92437fcbc6"/>
    <w:basedOn w:val="Normal0905ecbbcb1fef96d157fb92437fcbc6"/>
    <w:link w:val="PidipaginaCarattere0905ecbbcb1fef96d157fb92437fcbc6"/>
    <w:uiPriority w:val="99"/>
    <w:semiHidden/>
    <w:unhideWhenUsed/>
    <w:rsid w:val="0000082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0905ecbbcb1fef96d157fb92437fcbc6">
    <w:name w:val="Piè di pagina Carattere 0905ecbbcb1fef96d157fb92437fcbc6"/>
    <w:basedOn w:val="DefaultParagraphFont0905ecbbcb1fef96d157fb92437fcbc6"/>
    <w:link w:val="footer0905ecbbcb1fef96d157fb92437fcbc6"/>
    <w:uiPriority w:val="99"/>
    <w:semiHidden/>
    <w:rsid w:val="0000082F"/>
    <w:rPr>
      <w:szCs w:val="21"/>
    </w:rPr>
  </w:style>
  <w:style w:type="paragraph" w:customStyle="1" w:styleId="ListParagraph0905ecbbcb1fef96d157fb92437fcbc6">
    <w:name w:val="List Paragraph 0905ecbbcb1fef96d157fb92437fcbc6"/>
    <w:basedOn w:val="Normal0905ecbbcb1fef96d157fb92437fcbc6"/>
    <w:uiPriority w:val="34"/>
    <w:rsid w:val="00C402A0"/>
    <w:pPr>
      <w:ind w:left="720"/>
      <w:contextualSpacing/>
    </w:pPr>
    <w:rPr>
      <w:szCs w:val="21"/>
    </w:rPr>
  </w:style>
  <w:style w:type="character" w:customStyle="1" w:styleId="Emphasis0905ecbbcb1fef96d157fb92437fcbc6">
    <w:name w:val="Emphasis 0905ecbbcb1fef96d157fb92437fcbc6"/>
    <w:basedOn w:val="DefaultParagraphFont0905ecbbcb1fef96d157fb92437fcbc6"/>
    <w:uiPriority w:val="20"/>
    <w:rsid w:val="005D1253"/>
    <w:rPr>
      <w:i/>
      <w:iCs/>
    </w:rPr>
  </w:style>
  <w:style w:type="paragraph" w:customStyle="1" w:styleId="Normal1d91bacaa3663363b6f877a3f802e150">
    <w:name w:val="Normal 1d91bacaa3663363b6f877a3f802e150"/>
    <w:rsid w:val="00E56935"/>
    <w:pPr>
      <w:widowControl w:val="0"/>
      <w:suppressAutoHyphens/>
    </w:pPr>
  </w:style>
  <w:style w:type="character" w:customStyle="1" w:styleId="DefaultParagraphFont1d91bacaa3663363b6f877a3f802e150">
    <w:name w:val="Default Paragraph Font 1d91bacaa3663363b6f877a3f802e150"/>
    <w:uiPriority w:val="1"/>
    <w:semiHidden/>
    <w:unhideWhenUsed/>
  </w:style>
  <w:style w:type="table" w:customStyle="1" w:styleId="NormalTable1d91bacaa3663363b6f877a3f802e150">
    <w:name w:val="Normal Table 1d91bacaa3663363b6f877a3f802e15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d91bacaa3663363b6f877a3f802e150">
    <w:name w:val="No List 1d91bacaa3663363b6f877a3f802e150"/>
    <w:uiPriority w:val="99"/>
    <w:semiHidden/>
    <w:unhideWhenUsed/>
  </w:style>
  <w:style w:type="paragraph" w:customStyle="1" w:styleId="Title1d91bacaa3663363b6f877a3f802e150">
    <w:name w:val="Title 1d91bacaa3663363b6f877a3f802e150"/>
    <w:basedOn w:val="Normal1d91bacaa3663363b6f877a3f802e150"/>
    <w:next w:val="Corpotesto"/>
    <w:rsid w:val="00E5693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1d91bacaa3663363b6f877a3f802e150">
    <w:name w:val="Body Text 1d91bacaa3663363b6f877a3f802e150"/>
    <w:basedOn w:val="Normal1d91bacaa3663363b6f877a3f802e150"/>
    <w:rsid w:val="00E56935"/>
    <w:pPr>
      <w:spacing w:after="140" w:line="288" w:lineRule="auto"/>
    </w:pPr>
  </w:style>
  <w:style w:type="paragraph" w:customStyle="1" w:styleId="List1d91bacaa3663363b6f877a3f802e150">
    <w:name w:val="List 1d91bacaa3663363b6f877a3f802e150"/>
    <w:basedOn w:val="BodyText1d91bacaa3663363b6f877a3f802e150"/>
    <w:rsid w:val="00E56935"/>
  </w:style>
  <w:style w:type="paragraph" w:customStyle="1" w:styleId="caption1d91bacaa3663363b6f877a3f802e150">
    <w:name w:val="caption 1d91bacaa3663363b6f877a3f802e150"/>
    <w:basedOn w:val="Normal1d91bacaa3663363b6f877a3f802e150"/>
    <w:rsid w:val="00E56935"/>
    <w:pPr>
      <w:suppressLineNumbers/>
      <w:spacing w:before="120" w:after="120"/>
    </w:pPr>
    <w:rPr>
      <w:i/>
      <w:iCs/>
    </w:rPr>
  </w:style>
  <w:style w:type="paragraph" w:customStyle="1" w:styleId="Indice1d91bacaa3663363b6f877a3f802e150">
    <w:name w:val="Indice 1d91bacaa3663363b6f877a3f802e150"/>
    <w:basedOn w:val="Normal1d91bacaa3663363b6f877a3f802e150"/>
    <w:rsid w:val="00E56935"/>
    <w:pPr>
      <w:suppressLineNumbers/>
    </w:pPr>
  </w:style>
  <w:style w:type="paragraph" w:customStyle="1" w:styleId="Normal428b9856742aedeb694865894a55ace1">
    <w:name w:val="Normal 428b9856742aedeb694865894a55ace1"/>
    <w:rsid w:val="00166CC9"/>
    <w:pPr>
      <w:widowControl w:val="0"/>
      <w:suppressAutoHyphens/>
    </w:pPr>
  </w:style>
  <w:style w:type="character" w:customStyle="1" w:styleId="DefaultParagraphFont428b9856742aedeb694865894a55ace1">
    <w:name w:val="Default Paragraph Font 428b9856742aedeb694865894a55ace1"/>
    <w:uiPriority w:val="1"/>
    <w:semiHidden/>
    <w:unhideWhenUsed/>
  </w:style>
  <w:style w:type="table" w:customStyle="1" w:styleId="NormalTable428b9856742aedeb694865894a55ace1">
    <w:name w:val="Normal Table 428b9856742aedeb694865894a55ac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8b9856742aedeb694865894a55ace1">
    <w:name w:val="No List 428b9856742aedeb694865894a55ace1"/>
    <w:uiPriority w:val="99"/>
    <w:semiHidden/>
    <w:unhideWhenUsed/>
  </w:style>
  <w:style w:type="paragraph" w:customStyle="1" w:styleId="Title428b9856742aedeb694865894a55ace1">
    <w:name w:val="Title 428b9856742aedeb694865894a55ace1"/>
    <w:basedOn w:val="Normal428b9856742aedeb694865894a55ace1"/>
    <w:rsid w:val="00166CC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428b9856742aedeb694865894a55ace1">
    <w:name w:val="Body Text 428b9856742aedeb694865894a55ace1"/>
    <w:basedOn w:val="Normal428b9856742aedeb694865894a55ace1"/>
    <w:rsid w:val="00166CC9"/>
    <w:pPr>
      <w:spacing w:after="140" w:line="288" w:lineRule="auto"/>
    </w:pPr>
  </w:style>
  <w:style w:type="paragraph" w:customStyle="1" w:styleId="List428b9856742aedeb694865894a55ace1">
    <w:name w:val="List 428b9856742aedeb694865894a55ace1"/>
    <w:basedOn w:val="BodyText428b9856742aedeb694865894a55ace1"/>
    <w:rsid w:val="00166CC9"/>
  </w:style>
  <w:style w:type="paragraph" w:customStyle="1" w:styleId="caption428b9856742aedeb694865894a55ace1">
    <w:name w:val="caption 428b9856742aedeb694865894a55ace1"/>
    <w:basedOn w:val="Normal428b9856742aedeb694865894a55ace1"/>
    <w:rsid w:val="00166CC9"/>
    <w:pPr>
      <w:suppressLineNumbers/>
      <w:spacing w:before="120" w:after="120"/>
    </w:pPr>
    <w:rPr>
      <w:i/>
      <w:iCs/>
    </w:rPr>
  </w:style>
  <w:style w:type="paragraph" w:customStyle="1" w:styleId="Indice428b9856742aedeb694865894a55ace1">
    <w:name w:val="Indice 428b9856742aedeb694865894a55ace1"/>
    <w:basedOn w:val="Normal428b9856742aedeb694865894a55ace1"/>
    <w:rsid w:val="00166CC9"/>
    <w:pPr>
      <w:suppressLineNumbers/>
    </w:pPr>
  </w:style>
  <w:style w:type="paragraph" w:customStyle="1" w:styleId="header428b9856742aedeb694865894a55ace1">
    <w:name w:val="header 428b9856742aedeb694865894a55ace1"/>
    <w:basedOn w:val="Normal428b9856742aedeb694865894a55ace1"/>
    <w:link w:val="IntestazioneCarattere428b9856742aedeb694865894a55ace1"/>
    <w:uiPriority w:val="99"/>
    <w:semiHidden/>
    <w:unhideWhenUsed/>
    <w:rsid w:val="004E3CFE"/>
    <w:pPr>
      <w:widowControl/>
      <w:tabs>
        <w:tab w:val="center" w:pos="4819"/>
        <w:tab w:val="right" w:pos="9638"/>
      </w:tabs>
      <w:suppressAutoHyphens w:val="0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IntestazioneCarattere428b9856742aedeb694865894a55ace1">
    <w:name w:val="Intestazione Carattere 428b9856742aedeb694865894a55ace1"/>
    <w:basedOn w:val="DefaultParagraphFont428b9856742aedeb694865894a55ace1"/>
    <w:link w:val="header428b9856742aedeb694865894a55ace1"/>
    <w:uiPriority w:val="99"/>
    <w:semiHidden/>
    <w:rsid w:val="004E3CFE"/>
    <w:rPr>
      <w:rFonts w:ascii="Times New Roman" w:eastAsia="Times New Roman" w:hAnsi="Times New Roman" w:cs="Times New Roman"/>
      <w:lang w:eastAsia="it-IT" w:bidi="ar-SA"/>
    </w:rPr>
  </w:style>
  <w:style w:type="paragraph" w:customStyle="1" w:styleId="footer428b9856742aedeb694865894a55ace1">
    <w:name w:val="footer 428b9856742aedeb694865894a55ace1"/>
    <w:basedOn w:val="Normal428b9856742aedeb694865894a55ace1"/>
    <w:link w:val="PidipaginaCarattere428b9856742aedeb694865894a55ace1"/>
    <w:uiPriority w:val="99"/>
    <w:semiHidden/>
    <w:unhideWhenUsed/>
    <w:rsid w:val="004E3CFE"/>
    <w:pPr>
      <w:widowControl/>
      <w:tabs>
        <w:tab w:val="center" w:pos="4819"/>
        <w:tab w:val="right" w:pos="9638"/>
      </w:tabs>
      <w:suppressAutoHyphens w:val="0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PidipaginaCarattere428b9856742aedeb694865894a55ace1">
    <w:name w:val="Piè di pagina Carattere 428b9856742aedeb694865894a55ace1"/>
    <w:basedOn w:val="DefaultParagraphFont428b9856742aedeb694865894a55ace1"/>
    <w:link w:val="footer428b9856742aedeb694865894a55ace1"/>
    <w:uiPriority w:val="99"/>
    <w:semiHidden/>
    <w:rsid w:val="004E3CFE"/>
    <w:rPr>
      <w:rFonts w:ascii="Times New Roman" w:eastAsia="Times New Roman" w:hAnsi="Times New Roman" w:cs="Times New Roman"/>
      <w:lang w:eastAsia="it-IT" w:bidi="ar-SA"/>
    </w:rPr>
  </w:style>
  <w:style w:type="paragraph" w:customStyle="1" w:styleId="Normaled2afb7369d076027ab0ed38e0707fa4">
    <w:name w:val="Normal ed2afb7369d076027ab0ed38e0707fa4"/>
    <w:rsid w:val="00BA2594"/>
    <w:pPr>
      <w:widowControl w:val="0"/>
      <w:suppressAutoHyphens/>
    </w:pPr>
  </w:style>
  <w:style w:type="character" w:customStyle="1" w:styleId="DefaultParagraphFonted2afb7369d076027ab0ed38e0707fa4">
    <w:name w:val="Default Paragraph Font ed2afb7369d076027ab0ed38e0707fa4"/>
    <w:uiPriority w:val="1"/>
    <w:semiHidden/>
    <w:unhideWhenUsed/>
  </w:style>
  <w:style w:type="table" w:customStyle="1" w:styleId="NormalTableed2afb7369d076027ab0ed38e0707fa4">
    <w:name w:val="Normal Table ed2afb7369d076027ab0ed38e0707fa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ed2afb7369d076027ab0ed38e0707fa4">
    <w:name w:val="No List ed2afb7369d076027ab0ed38e0707fa4"/>
    <w:uiPriority w:val="99"/>
    <w:semiHidden/>
    <w:unhideWhenUsed/>
  </w:style>
  <w:style w:type="paragraph" w:customStyle="1" w:styleId="Titleed2afb7369d076027ab0ed38e0707fa4">
    <w:name w:val="Title ed2afb7369d076027ab0ed38e0707fa4"/>
    <w:basedOn w:val="Normaled2afb7369d076027ab0ed38e0707fa4"/>
    <w:rsid w:val="00BA25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ed2afb7369d076027ab0ed38e0707fa4">
    <w:name w:val="Body Text ed2afb7369d076027ab0ed38e0707fa4"/>
    <w:basedOn w:val="Normaled2afb7369d076027ab0ed38e0707fa4"/>
    <w:rsid w:val="00BA2594"/>
    <w:pPr>
      <w:spacing w:after="140" w:line="288" w:lineRule="auto"/>
    </w:pPr>
  </w:style>
  <w:style w:type="paragraph" w:customStyle="1" w:styleId="Listed2afb7369d076027ab0ed38e0707fa4">
    <w:name w:val="List ed2afb7369d076027ab0ed38e0707fa4"/>
    <w:basedOn w:val="BodyTexted2afb7369d076027ab0ed38e0707fa4"/>
    <w:rsid w:val="00BA2594"/>
  </w:style>
  <w:style w:type="paragraph" w:customStyle="1" w:styleId="captioned2afb7369d076027ab0ed38e0707fa4">
    <w:name w:val="caption ed2afb7369d076027ab0ed38e0707fa4"/>
    <w:basedOn w:val="Normaled2afb7369d076027ab0ed38e0707fa4"/>
    <w:rsid w:val="00BA2594"/>
    <w:pPr>
      <w:suppressLineNumbers/>
      <w:spacing w:before="120" w:after="120"/>
    </w:pPr>
    <w:rPr>
      <w:i/>
      <w:iCs/>
    </w:rPr>
  </w:style>
  <w:style w:type="paragraph" w:customStyle="1" w:styleId="Indiceed2afb7369d076027ab0ed38e0707fa4">
    <w:name w:val="Indice ed2afb7369d076027ab0ed38e0707fa4"/>
    <w:basedOn w:val="Normaled2afb7369d076027ab0ed38e0707fa4"/>
    <w:rsid w:val="00BA2594"/>
    <w:pPr>
      <w:suppressLineNumbers/>
    </w:pPr>
  </w:style>
  <w:style w:type="paragraph" w:customStyle="1" w:styleId="mceselecteded2afb7369d076027ab0ed38e0707fa4">
    <w:name w:val="mceselected ed2afb7369d076027ab0ed38e0707fa4"/>
    <w:basedOn w:val="Normaled2afb7369d076027ab0ed38e0707fa4"/>
    <w:rsid w:val="00744CC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NormalWebed2afb7369d076027ab0ed38e0707fa4">
    <w:name w:val="Normal (Web) ed2afb7369d076027ab0ed38e0707fa4"/>
    <w:basedOn w:val="Normaled2afb7369d076027ab0ed38e0707fa4"/>
    <w:uiPriority w:val="99"/>
    <w:semiHidden/>
    <w:unhideWhenUsed/>
    <w:rsid w:val="00744CC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8963</Characters>
  <Application>Microsoft Office Word</Application>
  <DocSecurity>4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Burghiani</dc:creator>
  <cp:lastModifiedBy>Simona Burghiani</cp:lastModifiedBy>
  <cp:revision>2</cp:revision>
  <dcterms:created xsi:type="dcterms:W3CDTF">2019-11-09T10:38:00Z</dcterms:created>
  <dcterms:modified xsi:type="dcterms:W3CDTF">2019-11-09T10:38:00Z</dcterms:modified>
  <dc:language>it-IT</dc:language>
</cp:coreProperties>
</file>